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74</w:t>
      </w:r>
    </w:p>
    <w:p>
      <w:r>
        <w:t>Bundesgericht (BGE), 1993-01-01, FR</w:t>
      </w:r>
    </w:p>
    <w:p>
      <w:r>
        <w:rPr>
          <w:b/>
        </w:rPr>
        <w:t xml:space="preserve">Quelle: </w:t>
      </w:r>
      <w:r>
        <w:t>https://mcp.opencaselaw.ch/entscheid/bge_119 III 74</w:t>
      </w:r>
    </w:p>
    <w:p>
      <w:r>
        <w:t>FR: ATF 119 III 74</w:t>
      </w:r>
    </w:p>
    <w:p>
      <w:r>
        <w:t>IT: DTF 119 III 74</w:t>
      </w:r>
    </w:p>
    <w:p>
      <w:pPr>
        <w:pStyle w:val="Heading2"/>
      </w:pPr>
      <w:r>
        <w:t>Regeste</w:t>
      </w:r>
    </w:p>
    <w:p>
      <w:r>
        <w:t>Regeste Art. 17 ff. und 136bis SchKG; öffentliche Versteigerung; Anträge in der gegen den Zuschlag gerichteten Beschwerde. Eine solche Beschwerde kann nur zur Aufhebung der Steigerung und zur Anordnung einer neuen Steigerung führen, und nicht zu einem einfachen Austausch des Steigerungskäufers (E. 1a).</w:t>
      </w:r>
    </w:p>
    <w:p>
      <w:pPr>
        <w:pStyle w:val="Heading2"/>
      </w:pPr>
      <w:r>
        <w:t>Erwägungen</w:t>
      </w:r>
    </w:p>
    <w:p>
      <w:r>
        <w:rPr>
          <w:b/>
        </w:rPr>
        <w:t>E. 1</w:t>
      </w:r>
    </w:p>
    <w:p>
      <w:r>
        <w:t>a) Aux termes de l'art. 136bis LP, l'acquisition de la propriété par l'adjudicataire ne peut être attaquée qu'au moyen d'une plainte tendant à ce que l'adjudication soit annulée. Une telle plainte ne peut donc aboutir qu'à l'annulation des enchères et à la fixation de nouvelles enchères, et non pas à un simple changement d'adjudicataire (cf. P.-R. GILLIÉRON, Poursuite pour dettes, faillite et concordat, 2e éd., Lausanne 1988, p. 234 et les références). Est donc irrecevable la conclusion du recourant visant à ce que le lot litigieux lui soit adjugé.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